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D3001"/>
    <w:p w14:paraId="6A00F9C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9C361E9">
      <w:pPr>
        <w:spacing w:line="540" w:lineRule="exact"/>
        <w:jc w:val="center"/>
        <w:rPr>
          <w:rFonts w:ascii="华文中宋" w:hAnsi="华文中宋" w:eastAsia="华文中宋" w:cs="宋体"/>
          <w:b/>
          <w:kern w:val="0"/>
          <w:sz w:val="52"/>
          <w:szCs w:val="52"/>
        </w:rPr>
      </w:pPr>
    </w:p>
    <w:p w14:paraId="042D8564">
      <w:pPr>
        <w:spacing w:line="540" w:lineRule="exact"/>
        <w:jc w:val="center"/>
        <w:rPr>
          <w:rFonts w:ascii="华文中宋" w:hAnsi="华文中宋" w:eastAsia="华文中宋" w:cs="宋体"/>
          <w:b/>
          <w:kern w:val="0"/>
          <w:sz w:val="52"/>
          <w:szCs w:val="52"/>
        </w:rPr>
      </w:pPr>
    </w:p>
    <w:p w14:paraId="31D9816F">
      <w:pPr>
        <w:spacing w:line="540" w:lineRule="exact"/>
        <w:jc w:val="center"/>
        <w:rPr>
          <w:rFonts w:ascii="华文中宋" w:hAnsi="华文中宋" w:eastAsia="华文中宋" w:cs="宋体"/>
          <w:b/>
          <w:kern w:val="0"/>
          <w:sz w:val="52"/>
          <w:szCs w:val="52"/>
        </w:rPr>
      </w:pPr>
    </w:p>
    <w:p w14:paraId="0A475A2C">
      <w:pPr>
        <w:spacing w:line="540" w:lineRule="exact"/>
        <w:jc w:val="center"/>
        <w:rPr>
          <w:rFonts w:ascii="华文中宋" w:hAnsi="华文中宋" w:eastAsia="华文中宋" w:cs="宋体"/>
          <w:b/>
          <w:kern w:val="0"/>
          <w:sz w:val="52"/>
          <w:szCs w:val="52"/>
        </w:rPr>
      </w:pPr>
    </w:p>
    <w:p w14:paraId="63D58BB7">
      <w:pPr>
        <w:spacing w:line="540" w:lineRule="exact"/>
        <w:jc w:val="center"/>
        <w:rPr>
          <w:rFonts w:ascii="华文中宋" w:hAnsi="华文中宋" w:eastAsia="华文中宋" w:cs="宋体"/>
          <w:b/>
          <w:kern w:val="0"/>
          <w:sz w:val="52"/>
          <w:szCs w:val="52"/>
        </w:rPr>
      </w:pPr>
    </w:p>
    <w:p w14:paraId="7CCE5266">
      <w:pPr>
        <w:spacing w:line="540" w:lineRule="exact"/>
        <w:jc w:val="center"/>
        <w:rPr>
          <w:rFonts w:ascii="华文中宋" w:hAnsi="华文中宋" w:eastAsia="华文中宋" w:cs="宋体"/>
          <w:b/>
          <w:kern w:val="0"/>
          <w:sz w:val="52"/>
          <w:szCs w:val="52"/>
        </w:rPr>
      </w:pPr>
    </w:p>
    <w:p w14:paraId="6733CC4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3A598E9">
      <w:pPr>
        <w:spacing w:line="540" w:lineRule="exact"/>
        <w:jc w:val="center"/>
        <w:rPr>
          <w:rFonts w:ascii="华文中宋" w:hAnsi="华文中宋" w:eastAsia="华文中宋" w:cs="宋体"/>
          <w:b/>
          <w:kern w:val="0"/>
          <w:sz w:val="52"/>
          <w:szCs w:val="52"/>
        </w:rPr>
      </w:pPr>
    </w:p>
    <w:p w14:paraId="011B545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79DBC9D">
      <w:pPr>
        <w:spacing w:line="540" w:lineRule="exact"/>
        <w:jc w:val="center"/>
        <w:rPr>
          <w:rFonts w:hAnsi="宋体" w:eastAsia="仿宋_GB2312" w:cs="宋体"/>
          <w:kern w:val="0"/>
          <w:sz w:val="30"/>
          <w:szCs w:val="30"/>
        </w:rPr>
      </w:pPr>
    </w:p>
    <w:p w14:paraId="13A65E0F">
      <w:pPr>
        <w:spacing w:line="540" w:lineRule="exact"/>
        <w:jc w:val="center"/>
        <w:rPr>
          <w:rFonts w:hAnsi="宋体" w:eastAsia="仿宋_GB2312" w:cs="宋体"/>
          <w:kern w:val="0"/>
          <w:sz w:val="30"/>
          <w:szCs w:val="30"/>
        </w:rPr>
      </w:pPr>
    </w:p>
    <w:p w14:paraId="3D63CE33">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E9C037D">
      <w:pPr>
        <w:spacing w:line="540" w:lineRule="exact"/>
        <w:jc w:val="center"/>
        <w:rPr>
          <w:rFonts w:hAnsi="宋体" w:eastAsia="仿宋_GB2312" w:cs="宋体"/>
          <w:kern w:val="0"/>
          <w:sz w:val="30"/>
          <w:szCs w:val="30"/>
        </w:rPr>
      </w:pPr>
    </w:p>
    <w:p w14:paraId="0FFFF500">
      <w:pPr>
        <w:spacing w:line="540" w:lineRule="exact"/>
        <w:jc w:val="center"/>
        <w:rPr>
          <w:rFonts w:hAnsi="宋体" w:eastAsia="仿宋_GB2312" w:cs="宋体"/>
          <w:kern w:val="0"/>
          <w:sz w:val="30"/>
          <w:szCs w:val="30"/>
        </w:rPr>
      </w:pPr>
    </w:p>
    <w:p w14:paraId="50A7FA85">
      <w:pPr>
        <w:spacing w:line="540" w:lineRule="exact"/>
        <w:jc w:val="center"/>
        <w:rPr>
          <w:rFonts w:hAnsi="宋体" w:eastAsia="仿宋_GB2312" w:cs="宋体"/>
          <w:kern w:val="0"/>
          <w:sz w:val="30"/>
          <w:szCs w:val="30"/>
        </w:rPr>
      </w:pPr>
    </w:p>
    <w:p w14:paraId="5C50BEA2">
      <w:pPr>
        <w:spacing w:line="540" w:lineRule="exact"/>
        <w:rPr>
          <w:rFonts w:hAnsi="宋体" w:eastAsia="仿宋_GB2312" w:cs="宋体"/>
          <w:kern w:val="0"/>
          <w:sz w:val="30"/>
          <w:szCs w:val="30"/>
        </w:rPr>
      </w:pPr>
    </w:p>
    <w:p w14:paraId="631AD9F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ED7415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lang w:eastAsia="zh-CN"/>
        </w:rPr>
        <w:t>巴音郭楞蒙古自治州</w:t>
      </w:r>
      <w:bookmarkStart w:id="0" w:name="_GoBack"/>
      <w:bookmarkEnd w:id="0"/>
      <w:r>
        <w:rPr>
          <w:rStyle w:val="19"/>
          <w:rFonts w:hint="eastAsia" w:ascii="楷体" w:hAnsi="楷体" w:eastAsia="楷体"/>
          <w:spacing w:val="-4"/>
          <w:sz w:val="32"/>
          <w:szCs w:val="32"/>
        </w:rPr>
        <w:t>成立70周年庆祝晚会经费--巴财预追[2024]040号</w:t>
      </w:r>
    </w:p>
    <w:p w14:paraId="232DBC8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新疆巴音郭楞蒙古自治州歌舞团</w:t>
      </w:r>
    </w:p>
    <w:p w14:paraId="08F6794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新疆巴音郭楞蒙古自治州歌舞团</w:t>
      </w:r>
    </w:p>
    <w:p w14:paraId="40BDB37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吐宏江·祖农</w:t>
      </w:r>
    </w:p>
    <w:p w14:paraId="52E5A8E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2025年03月21日</w:t>
      </w:r>
    </w:p>
    <w:p w14:paraId="1D0FC89F">
      <w:pPr>
        <w:spacing w:line="700" w:lineRule="exact"/>
        <w:ind w:firstLine="708" w:firstLineChars="236"/>
        <w:jc w:val="left"/>
        <w:rPr>
          <w:rFonts w:hAnsi="宋体" w:eastAsia="仿宋_GB2312" w:cs="宋体"/>
          <w:kern w:val="0"/>
          <w:sz w:val="30"/>
          <w:szCs w:val="30"/>
        </w:rPr>
      </w:pPr>
    </w:p>
    <w:p w14:paraId="6ADFF795">
      <w:pPr>
        <w:spacing w:line="540" w:lineRule="exact"/>
        <w:rPr>
          <w:rStyle w:val="19"/>
          <w:rFonts w:ascii="黑体" w:hAnsi="黑体" w:eastAsia="黑体"/>
          <w:b w:val="0"/>
          <w:spacing w:val="-4"/>
          <w:sz w:val="32"/>
          <w:szCs w:val="32"/>
        </w:rPr>
      </w:pPr>
    </w:p>
    <w:p w14:paraId="5E4E49B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0C3E08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D6ED26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成立70周年庆祝活动是全州政治、经济、文化生活中的一件大事，是铸牢中华民族共同体意识的重要实践，体现了党的十八大以来，巴州取得的辉煌成就和深厚的文化底蕴及源远流长的历史文脉，象征着民族团结的花儿在自治州大地绽放结果，各民族同胞像石榴籽一样紧紧地抱在一起，也是宣传推介巴州、扩大交流合作、吸引投资兴业的重要契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自治州成立70周年庆祝晚会。整台晚会由开场、三个篇章、尾声三部分组成，共计十三个节目。表演形式由歌舞、小品、器乐演奏、诗歌朗诵、杂技等构成，同时配合灯光、270度视屏及特效技术手段融合创新，体现了党的十八大以来,巴州取得的辉煌成就和深厚的文化底蕴及源远流长的历史文脉，象征着民族团结的花儿在自治州大地绽放结果，各民族同胞像石榴籽一样紧紧的抱在一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该晚会于2024年7月25至27日在塔里木油田影剧院演出，教育引导全州各族干部群众牢固树立“四个认同”的中华民族历史观。通过此次邀请北京团队提高了整台晚会的演出效果，让现场观众达到了耳目一新的全方位视听体验，从音乐、舞蹈、情景歌舞、流行说唱各种表演形式上下足了功夫，舞蹈演员的专业技术水平也有了很大的提高，从编排和创作手法上也有了新的认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歌舞团负责自治州成立70周年庆祝晚会顺利演出，与创作团队合作签订合同，组织演员将此次庆祝晚会于2024年7月25至27日在塔里木油田影剧院演出，教育引导全州各族干部群众牢固树立“四个认同”的中华民族历史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该项目年初预算数500万元，全年执行数497.15万元，预算执行率为99.43%。主要用于：剧目创作经费389.96万元，文化演出经费107.19万元。</w:t>
      </w:r>
    </w:p>
    <w:p w14:paraId="0BB7A17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803B27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郭楞自治州成立70周年庆祝晚会，旨在展现自治州70周年的辉煌成就，展示自治州深厚的文化底蕴，人民团结奋进，安居乐业的美好景象，增强全州人民群众的归属感和自豪感。巴州歌舞团计划开展3场演出，全体演员以最饱满的热情和激情为全州各族人民献上文化大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开展巴音郭楞蒙古自治州成立70周年庆祝晚会的相关工作，组织好人员开展创作和演出工作，第一阶段开展筹备自治州成立70周年团队招标工作，第二阶段开展自治州成立70周年创编相关工作，制作团队收集资料准备制作音乐、视频等系列工作，第三阶段开展庆祝晚会节目创排细扣阶段，第四阶段做好演出前宣传、晚会对光、联排合成、节目单制作等工作，拟计划于2024年7月25至27日晚21点在塔里木油田影剧院演出三场，晚会由开场、三个篇章、尾声三部分组成，整台晚会预计演出十三个节目。有效体现了党的十八大以来,巴州取得的辉煌成就和深厚的文化底蕴及源远流长的历史文脉，象征着民族团结的花儿在自治州大地绽放结果，各民族同胞像石榴籽一样紧紧的抱在一起。</w:t>
      </w:r>
    </w:p>
    <w:p w14:paraId="04F081B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7F6CA8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E9D3BE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 xml:space="preserve"> 1.绩效评价完整性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对象是巴音郭楞蒙古自治州成立70周年庆祝晚会项目预算执行情况，该项目由巴音郭楞蒙古自治州的文化体育广播电视和旅游局具体实施。巴州歌舞团负责自治州成立70周年庆祝晚会顺利演出，与创作团队合作签订合同，教育引导全州各族干部群众牢固树立“四个认同”的中华民族历史观。项目预算涵盖从2024年5月1日至2024年7月27日的全部资金投入与支出，涉及资金总额为500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效益影响：通过此次晚会的演出。教育引导全州各族干部群众牢固树立“四个认同”的中华民族历史观。通过此次邀请北京团队提高了整台晚会的演出效果，让现场观众达到了耳目一新的全方位视听体验，从音乐、舞蹈、情景歌舞、流行说唱各种表演形式上下足了功夫，舞蹈演员的专业技术水平也有了很大的提高，从编排和创作手法上也有了新的认识。达到良好的社会效益，观众满意度高，获得一致好评。</w:t>
      </w:r>
    </w:p>
    <w:p w14:paraId="7F57D82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DF9F6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（1）科学公正。绩效评价应当运用科学合理的方法，按照规范的程序，对自治州成立70周年庆祝晚会演出场次、社会效益、观众满意度等进行客观、公正的反映。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（2）统筹兼顾。单位自评、部门评价和财政评价应职责明确，各有侧重，相互衔接。单位自评应由巴州歌舞团实施，即“谁支出、谁自评”。部门评价和财政评价应在单位自评的基础上开展。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（一）因素分析法。原因是通过对项目评价点和影响因素的梳理，找出本次评价项目影响因素主要包括：资金支付的过程管理。根据以上因素，设置指标体系，综合全面的开展绩效评价工作。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（二）公众评判法。原因是对于无法进行量化的指标，采取调查问卷方式进行。针对本项目，为实事求是考察项目实施的效益，抽取项目受益对象，开展满意度调查。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绩效评价标准通常包括计划标准、行业标准、历史标准等，用于对绩效指标完成情况进行比较、分析、评价。本次评价主要采用了计划标准、行业标准、历史标准等标准。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（1）计划标准。指以预先制定的目标、计划、预算、定额等作为评价标准。原因是自治州成立70周年庆祝晚会按照完成目标、时间进度和经费预算等进行评价。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行业标准。指参照国家公布的行业指标数据制定的评价标准。原因是主题明确且与自治州的历史、文化、发展成就紧密相关，具有独特性和代表性。策划方案完整，包括晚会的整体架构、节目流程等，节目内容具有巴州特色，展现自治州的民族文化、风土人情和发展成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历史标准。指参照历史数据制定的评价标准，为体现绩效改进的原则，在可实现的条件下应当确定相对较高的评价标准。原因是参照与以往自治州重要节庆活动晚会的规模、形式和影响力进行对比。例如，以往类似周年庆典晚会的参演人数、节目时长、场地规模等。考察以往晚会在宣传自治州历史、成就和发展愿景方面的效果。是否能够清晰地展示自治州在不同历史阶段的重要事件、发展成果以及未来规划。</w:t>
      </w:r>
    </w:p>
    <w:p w14:paraId="6C0DA16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5F7F92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明确评价范围时，将项目的决策、执行、产出及效益阶段全部纳入评价范围，确保评价工作的全面性。评价重点主要集中在项目的产出成果质量、社会效益的实现情况是否提升了巴州各族群众的精神生活，以及自治州成立70周年庆祝晚会演出各族群众的满意度方面。在时间安排上，根据项目的实际进度，将评价工作分为三个阶段，分别为准备阶段、实施阶段和报告阶段，每个阶段设定了明确的时间节点和工作任务，保障评价工作的有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绩效评价工作中，指标体系构建是核心环节。我们紧扣项目的性质、目标和预期成果，打造了一套科学合理的绩效评价指标体系。项目决策维度，聚焦项目立项的必要性、目标设定的合理性，以及决策程序的规范性，这些指标反映项目启动时的规划是否科学。项目过程维度，着重考量资源分配是否均衡、进度把控是否精准、质量监管是否到位，以此衡量项目执行过程的优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全方位了解自治州成立70周年庆祝晚会的情况，巴州歌舞团对演出质量、效果等方面进行广泛的数据收集工作，数据来源涵盖多个关键领域。财务报表提供了项目资金的收支明细、成本构成等核心财务信息，能直观反映项目资金的使用效率与效益；项目文档包含项目策划书、进度报告、会议纪要等，详细记录项目从规划到执行的全过程；业务数据聚焦项目业务层面，像产品产量、服务频次等，是衡量项目业务产出的重要依据；用户反馈则从终端使用者视角出发，收集他们对项目成果的满意度、使用体验等，为评价项目成果的实际价值提供一手资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数据分析评估后，按统一格式规范撰写项目预算绩效评价报告，涵盖项目背景、评价目的等多部分，力求条理清晰、重点突出、语言简洁。报告完成即向项目实施主体和利益相关者反馈，充分听取意见，据此完善优化，保障报告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95E7BA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EEB39F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的综合评价基于对项目各方面绩效的深入分析与评估。从项目目标的达成情况来看，巴音郭楞蒙古自治州成立70周年庆祝晚会展现自治州70年来政治文化经济等方面取得的辉煌成就，通过数字化手段，将表演艺术、观演环境、视效呈现等有机融合，为各族干部群众献上一场高标准视听盛宴，达到了预期的标准与要求。同时，项目也在社会效益和群众满意度方面取得了显著的成效，切实提高了全州各族群众的精神文化生活、观众观看后满意度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在项目管理方面，巴州歌舞团通过有效的规划、组织与协调，项目得以顺利实施，并在预算与时间上保持了良好的控制。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从项目效益的角度来看，本项目在社会效益方面产生了积极的影响。具体而言，各族群众的精神文化生活方面的提升，为项目的利益相关者带来了实实在在的利益。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综上所述，巴音郭楞蒙古自治州成立70周年庆祝晚会项目在绩效评价中表现出色，达到了项目的预期目标，并在多个方面取得了显著的成效。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等方式，对本项目进行客观评价，最终评分结果：总得分为94.48分，属于“优”，其中，项目决策类指标权重为20分，得分为20分，得分率为100%。项目过程类指标权重为20分，得分为19.98分，得分率为99.9%。项目产出类指标权重为40分，得分为34.5分，得分率为86.25%。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19.98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34.5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94.48</w:t>
      </w:r>
    </w:p>
    <w:p w14:paraId="5DB2E276">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316C2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11343B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按照巴党办字【2023】44号关于成立自治州成立70周年庆祝活动筹备工作领导小组的通知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成立70周年庆祝晚会按照项目申请、设立过程符合相关要求，巴州歌舞团严格按照审批流程准备符合要求的文件、材料；根据决算依据编制工作计划和经费预算，经过与州文化体育广播电视和旅游局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自治州成立70周年庆祝晚会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18C7939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4640BD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项目过程类指标包括资金管理和组织实施两方面的内容，由5个三级指标构成，权重分值为20分，实际得分19.98分，得分率为99.9%。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预算编制较为详细，项目资金支出总体能够按照预算执行，预算资金支出497.15万元，预算执行率为99.43%。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此项权重分值为4分，得分为3.98分。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节庆活动资金使用办法，按照自治州成立70周年庆祝晚会经费预算方案和财务程序进行支付、核算，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节庆活动资金使用办法，根据自治州成立70周年庆祝晚会经费预算方案和财务程序进行支付、核算，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自治州成立70周年庆祝晚会项目项目管理制度还充分考虑了风险因素，制定了自治州成立70周年庆祝晚会经费预算方案和小组细化措施，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巴州歌舞团与北京幻镜文化传媒有限公司团队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E323ED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7E0FB4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项目产出指标包括产出数量、产出质量、产出时效、产出成本四方面的内容，由7个三级指标构成，权重分为40分，实际得分34.5分，得分率为86.25%。具体产出指标完成情况如下：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指标1：举办文化演出场次，指标值：≧3场; 实际完成值：3场，指标完成率100%。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指标2：演员演出人数，指标值：230人;实际完成值230人，指标完成率100%。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指标3：演出观看人数，指标值：≧1600人，实际完成值：1600余人，指标完成率100%。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指标1：演出出勤率，指标值：=100%;实际完成值：100%，指标完成率100%。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指标1：庆祝晚会按时完成率；指标值：100%；实际完成值：100%，指标完成率100%。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指标1：剧目创作经费成本控制：433.29万元，实际完成值：389.96万元，指标完成率89.99%，偏差原因：高效的安排避免了额外的费用，节约了成本；</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指标2：文化演出经费控制：66.71万元，实际完成值：107.19万元，指标完成率0%，偏差原因：因临时需要舞台加固及检测，所以经费成本增加。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此项权重分值为10分，得分为4.5分。</w:t>
      </w:r>
    </w:p>
    <w:p w14:paraId="08DDDB7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553E75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指标1：提高人民群众精神文化生活，指标值：有所提升;实际完成值：达成目标，指标完成率100%。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690560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指标1：观众观看后满意度，指标值：=100%。实际完成值：100%，指标完成率100%。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039DE95">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27078D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为确保项目顺利进行，提前做好项目规划，紧扣自治州 70 年发展历程中的重要成就、民族特色和文化传承，确定具有代表性和感染力的主题。在项目实施过程中精心策划和组织，与各部门精心沟通协调，确保演出工作顺利进行，严格按照项目管理规范进行，在项目资金使用过程中，严格落实把关，按照项目资金使用范围做好审核工作，让项目资金落于实处。在项目完成后，做好受益群众民意调查及项目防范工作。对庆祝晚会节目质量严格把关，确保演出节目精彩、表演水平高超，同时做好后勤服务工作，为演员、工作人员和观众提供良好的饮食、交通等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积极与各部门对接，做好项目支付工作。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2.绩效评价体系的认识不足，个别绩效指标设置不够精准，对绩效评价体系的目的和作用理解不深，导致在实际操作中无法充分发挥其应有的功能。使得绩效指标难以与之紧密结合，导致存在偏差。</w:t>
      </w:r>
    </w:p>
    <w:p w14:paraId="37E4B29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341F0A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进一步加强对绩效管理工作的组织领导，提高对预算绩效管理工作重要性的认识，总结经验查找问题，抓紧研究制定更全面更完善的绩效评价管理办法，多参加有关绩效管理工作方面的培训。进一步夯实业务基础，有效提升我单位绩效管理工作和业务水平。让“花钱必问效，无效必问责”的理念深入工作的每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规范项目建设的程序。项目前期做好可行性研究报告，细化实施方案，严格执行资金管理办法和财政资金管理制度，严格按照项目实施方案、招投标管理办法等稳步推进工作，根据自己项目的特点进行总结。进一步完善项目评价过程中有关数据和资料的收集、整理、审核及分析，健全档案资料。项目后续管理有待进一步加强和跟踪。</w:t>
      </w:r>
    </w:p>
    <w:p w14:paraId="13BDF0F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55254D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C8F3EBD">
      <w:pPr>
        <w:spacing w:line="540" w:lineRule="exact"/>
        <w:ind w:firstLine="567"/>
        <w:rPr>
          <w:rStyle w:val="19"/>
          <w:rFonts w:ascii="仿宋" w:hAnsi="仿宋" w:eastAsia="仿宋"/>
          <w:b w:val="0"/>
          <w:spacing w:val="-4"/>
          <w:sz w:val="32"/>
          <w:szCs w:val="32"/>
        </w:rPr>
      </w:pPr>
    </w:p>
    <w:p w14:paraId="49B7EF28">
      <w:pPr>
        <w:spacing w:line="540" w:lineRule="exact"/>
        <w:ind w:firstLine="567"/>
        <w:rPr>
          <w:rStyle w:val="19"/>
          <w:rFonts w:ascii="仿宋" w:hAnsi="仿宋" w:eastAsia="仿宋"/>
          <w:b w:val="0"/>
          <w:spacing w:val="-4"/>
          <w:sz w:val="32"/>
          <w:szCs w:val="32"/>
        </w:rPr>
      </w:pPr>
    </w:p>
    <w:p w14:paraId="7D056236">
      <w:pPr>
        <w:spacing w:line="540" w:lineRule="exact"/>
        <w:ind w:firstLine="567"/>
        <w:rPr>
          <w:rStyle w:val="19"/>
          <w:rFonts w:ascii="仿宋" w:hAnsi="仿宋" w:eastAsia="仿宋"/>
          <w:b w:val="0"/>
          <w:spacing w:val="-4"/>
          <w:sz w:val="32"/>
          <w:szCs w:val="32"/>
        </w:rPr>
      </w:pPr>
    </w:p>
    <w:p w14:paraId="74AE9A93">
      <w:pPr>
        <w:spacing w:line="540" w:lineRule="exact"/>
        <w:ind w:firstLine="567"/>
        <w:rPr>
          <w:rStyle w:val="19"/>
          <w:rFonts w:ascii="仿宋" w:hAnsi="仿宋" w:eastAsia="仿宋"/>
          <w:b w:val="0"/>
          <w:spacing w:val="-4"/>
          <w:sz w:val="32"/>
          <w:szCs w:val="32"/>
        </w:rPr>
      </w:pPr>
    </w:p>
    <w:p w14:paraId="072B3A6C">
      <w:pPr>
        <w:spacing w:line="540" w:lineRule="exact"/>
        <w:ind w:firstLine="567"/>
        <w:rPr>
          <w:rStyle w:val="19"/>
          <w:rFonts w:ascii="仿宋" w:hAnsi="仿宋" w:eastAsia="仿宋"/>
          <w:b w:val="0"/>
          <w:spacing w:val="-4"/>
          <w:sz w:val="32"/>
          <w:szCs w:val="32"/>
        </w:rPr>
      </w:pPr>
    </w:p>
    <w:p w14:paraId="1F52FF38">
      <w:pPr>
        <w:spacing w:line="540" w:lineRule="exact"/>
        <w:ind w:firstLine="567"/>
        <w:rPr>
          <w:rStyle w:val="19"/>
          <w:rFonts w:ascii="仿宋" w:hAnsi="仿宋" w:eastAsia="仿宋"/>
          <w:b w:val="0"/>
          <w:spacing w:val="-4"/>
          <w:sz w:val="32"/>
          <w:szCs w:val="32"/>
        </w:rPr>
      </w:pPr>
    </w:p>
    <w:p w14:paraId="658C0626">
      <w:pPr>
        <w:spacing w:line="540" w:lineRule="exact"/>
        <w:ind w:firstLine="567"/>
        <w:rPr>
          <w:rStyle w:val="19"/>
          <w:rFonts w:ascii="仿宋" w:hAnsi="仿宋" w:eastAsia="仿宋"/>
          <w:b w:val="0"/>
          <w:spacing w:val="-4"/>
          <w:sz w:val="32"/>
          <w:szCs w:val="32"/>
        </w:rPr>
      </w:pPr>
    </w:p>
    <w:p w14:paraId="6F68B44C">
      <w:pPr>
        <w:spacing w:line="540" w:lineRule="exact"/>
        <w:ind w:firstLine="567"/>
        <w:rPr>
          <w:rStyle w:val="19"/>
          <w:rFonts w:ascii="仿宋" w:hAnsi="仿宋" w:eastAsia="仿宋"/>
          <w:b w:val="0"/>
          <w:spacing w:val="-4"/>
          <w:sz w:val="32"/>
          <w:szCs w:val="32"/>
        </w:rPr>
      </w:pPr>
    </w:p>
    <w:p w14:paraId="555027D0">
      <w:pPr>
        <w:spacing w:line="540" w:lineRule="exact"/>
        <w:ind w:firstLine="567"/>
        <w:rPr>
          <w:rStyle w:val="19"/>
          <w:rFonts w:ascii="仿宋" w:hAnsi="仿宋" w:eastAsia="仿宋"/>
          <w:b w:val="0"/>
          <w:spacing w:val="-4"/>
          <w:sz w:val="32"/>
          <w:szCs w:val="32"/>
        </w:rPr>
      </w:pPr>
    </w:p>
    <w:p w14:paraId="52E18E74">
      <w:pPr>
        <w:spacing w:line="540" w:lineRule="exact"/>
        <w:ind w:firstLine="567"/>
        <w:rPr>
          <w:rStyle w:val="19"/>
          <w:rFonts w:ascii="仿宋" w:hAnsi="仿宋" w:eastAsia="仿宋"/>
          <w:b w:val="0"/>
          <w:spacing w:val="-4"/>
          <w:sz w:val="32"/>
          <w:szCs w:val="32"/>
        </w:rPr>
      </w:pPr>
    </w:p>
    <w:p w14:paraId="1D8AE9EC">
      <w:pPr>
        <w:spacing w:line="540" w:lineRule="exact"/>
        <w:ind w:firstLine="567"/>
        <w:rPr>
          <w:rStyle w:val="19"/>
          <w:rFonts w:ascii="仿宋" w:hAnsi="仿宋" w:eastAsia="仿宋"/>
          <w:b w:val="0"/>
          <w:spacing w:val="-4"/>
          <w:sz w:val="32"/>
          <w:szCs w:val="32"/>
        </w:rPr>
      </w:pPr>
    </w:p>
    <w:p w14:paraId="231767F1">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D207EA4-7338-4404-B9BF-BE282703AF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DB2D4AC-351E-474F-9A46-4589342D5B51}"/>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5A83471-2E9E-44C8-A7C1-1E1C35F22995}"/>
  </w:font>
  <w:font w:name="华文中宋">
    <w:panose1 w:val="02010600040101010101"/>
    <w:charset w:val="86"/>
    <w:family w:val="auto"/>
    <w:pitch w:val="default"/>
    <w:sig w:usb0="00000287" w:usb1="080F0000" w:usb2="00000000" w:usb3="00000000" w:csb0="0004009F" w:csb1="DFD70000"/>
    <w:embedRegular r:id="rId4" w:fontKey="{6E4B00F0-BEFB-4034-8D11-91337E3D83B4}"/>
  </w:font>
  <w:font w:name="方正小标宋_GBK">
    <w:panose1 w:val="02000000000000000000"/>
    <w:charset w:val="86"/>
    <w:family w:val="script"/>
    <w:pitch w:val="default"/>
    <w:sig w:usb0="A00002BF" w:usb1="38CF7CFA" w:usb2="00082016" w:usb3="00000000" w:csb0="00040001" w:csb1="00000000"/>
    <w:embedRegular r:id="rId5" w:fontKey="{A47E4C86-BB51-40D6-BF9A-91268DED0653}"/>
  </w:font>
  <w:font w:name="仿宋_GB2312">
    <w:altName w:val="仿宋"/>
    <w:panose1 w:val="02010609030101010101"/>
    <w:charset w:val="86"/>
    <w:family w:val="modern"/>
    <w:pitch w:val="default"/>
    <w:sig w:usb0="00000000" w:usb1="00000000" w:usb2="00000000" w:usb3="00000000" w:csb0="00040000" w:csb1="00000000"/>
    <w:embedRegular r:id="rId6" w:fontKey="{39E1C8B6-1B6A-49BA-832B-7D307126012A}"/>
  </w:font>
  <w:font w:name="楷体">
    <w:panose1 w:val="02010609060101010101"/>
    <w:charset w:val="86"/>
    <w:family w:val="modern"/>
    <w:pitch w:val="default"/>
    <w:sig w:usb0="800002BF" w:usb1="38CF7CFA" w:usb2="00000016" w:usb3="00000000" w:csb0="00040001" w:csb1="00000000"/>
    <w:embedRegular r:id="rId7" w:fontKey="{C328E1F3-7A0D-4991-BE4B-3B65E87B776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F5E7F97">
        <w:pPr>
          <w:pStyle w:val="12"/>
          <w:jc w:val="center"/>
        </w:pPr>
        <w:r>
          <w:fldChar w:fldCharType="begin"/>
        </w:r>
        <w:r>
          <w:instrText xml:space="preserve">PAGE   \* MERGEFORMAT</w:instrText>
        </w:r>
        <w:r>
          <w:fldChar w:fldCharType="separate"/>
        </w:r>
        <w:r>
          <w:rPr>
            <w:lang w:val="zh-CN"/>
          </w:rPr>
          <w:t>1</w:t>
        </w:r>
        <w:r>
          <w:fldChar w:fldCharType="end"/>
        </w:r>
      </w:p>
    </w:sdtContent>
  </w:sdt>
  <w:p w14:paraId="621E63B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1538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57f0e2b-8556-4d2c-a805-0f2e60ac8960}">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10935</Words>
  <Characters>11267</Characters>
  <Lines>5</Lines>
  <Paragraphs>1</Paragraphs>
  <TotalTime>0</TotalTime>
  <ScaleCrop>false</ScaleCrop>
  <LinksUpToDate>false</LinksUpToDate>
  <CharactersWithSpaces>11300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2025-09-22T05:24:44Z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